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25FC7">
      <w:pPr>
        <w:spacing w:line="560" w:lineRule="exact"/>
        <w:jc w:val="center"/>
        <w:rPr>
          <w:rFonts w:ascii="方正小标宋简体" w:hAnsi="宋体" w:eastAsia="方正小标宋简体"/>
          <w:color w:val="000000"/>
          <w:spacing w:val="20"/>
          <w:sz w:val="44"/>
          <w:szCs w:val="44"/>
        </w:rPr>
      </w:pPr>
      <w:r>
        <w:rPr>
          <w:rFonts w:hint="eastAsia" w:ascii="方正小标宋简体" w:hAnsi="宋体" w:eastAsia="方正小标宋简体"/>
          <w:color w:val="000000"/>
          <w:spacing w:val="20"/>
          <w:sz w:val="44"/>
          <w:szCs w:val="44"/>
        </w:rPr>
        <w:t>限期缴费决定书</w:t>
      </w:r>
    </w:p>
    <w:p w14:paraId="20F32AFD">
      <w:pPr>
        <w:spacing w:line="560" w:lineRule="exact"/>
        <w:jc w:val="center"/>
        <w:outlineLvl w:val="0"/>
        <w:rPr>
          <w:rFonts w:ascii="仿宋" w:hAnsi="仿宋" w:eastAsia="仿宋"/>
          <w:color w:val="000000"/>
          <w:spacing w:val="20"/>
          <w:sz w:val="32"/>
          <w:szCs w:val="32"/>
        </w:rPr>
      </w:pPr>
      <w:r>
        <w:rPr>
          <w:rFonts w:hint="eastAsia" w:ascii="仿宋" w:hAnsi="仿宋" w:eastAsia="仿宋"/>
          <w:color w:val="000000"/>
          <w:spacing w:val="20"/>
          <w:sz w:val="32"/>
          <w:szCs w:val="32"/>
        </w:rPr>
        <w:t>营开红海决〔2024〕0010号</w:t>
      </w:r>
    </w:p>
    <w:p w14:paraId="3DE075AA">
      <w:pPr>
        <w:spacing w:line="560" w:lineRule="exact"/>
        <w:jc w:val="center"/>
        <w:rPr>
          <w:rFonts w:ascii="仿宋" w:hAnsi="仿宋" w:eastAsia="仿宋"/>
          <w:color w:val="000000"/>
          <w:spacing w:val="20"/>
          <w:sz w:val="32"/>
          <w:szCs w:val="32"/>
        </w:rPr>
      </w:pPr>
    </w:p>
    <w:p w14:paraId="6AA2578D">
      <w:pPr>
        <w:spacing w:line="560" w:lineRule="exact"/>
        <w:jc w:val="left"/>
        <w:rPr>
          <w:rFonts w:ascii="仿宋" w:hAnsi="仿宋" w:eastAsia="仿宋"/>
          <w:color w:val="000000"/>
          <w:spacing w:val="-20"/>
          <w:kern w:val="10"/>
          <w:sz w:val="32"/>
          <w:szCs w:val="32"/>
        </w:rPr>
      </w:pPr>
      <w:bookmarkStart w:id="0" w:name="nsrmc"/>
      <w:bookmarkEnd w:id="0"/>
      <w:r>
        <w:rPr>
          <w:rFonts w:hint="eastAsia" w:ascii="仿宋" w:hAnsi="仿宋" w:eastAsia="仿宋"/>
          <w:color w:val="000000"/>
          <w:spacing w:val="-20"/>
          <w:kern w:val="10"/>
          <w:sz w:val="32"/>
          <w:szCs w:val="32"/>
        </w:rPr>
        <w:t>付尧：</w:t>
      </w:r>
    </w:p>
    <w:p w14:paraId="210A9D3A">
      <w:pPr>
        <w:pStyle w:val="8"/>
        <w:spacing w:line="560" w:lineRule="exact"/>
        <w:ind w:firstLine="640"/>
        <w:rPr>
          <w:rFonts w:ascii="仿宋" w:hAnsi="仿宋" w:eastAsia="仿宋"/>
          <w:sz w:val="32"/>
          <w:szCs w:val="32"/>
        </w:rPr>
      </w:pPr>
      <w:r>
        <w:rPr>
          <w:rFonts w:hint="eastAsia" w:ascii="仿宋" w:hAnsi="仿宋" w:eastAsia="仿宋"/>
          <w:color w:val="000000"/>
          <w:sz w:val="32"/>
          <w:szCs w:val="32"/>
        </w:rPr>
        <w:t>你海域使用金，具体欠费情况如下：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260"/>
        <w:gridCol w:w="1176"/>
        <w:gridCol w:w="1365"/>
        <w:gridCol w:w="1815"/>
      </w:tblGrid>
      <w:tr w14:paraId="174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jc w:val="center"/>
        </w:trPr>
        <w:tc>
          <w:tcPr>
            <w:tcW w:w="1544" w:type="dxa"/>
            <w:vAlign w:val="center"/>
          </w:tcPr>
          <w:p w14:paraId="5656BC28">
            <w:pPr>
              <w:jc w:val="center"/>
              <w:rPr>
                <w:rFonts w:ascii="仿宋" w:hAnsi="仿宋" w:eastAsia="仿宋"/>
                <w:color w:val="000000"/>
                <w:sz w:val="24"/>
              </w:rPr>
            </w:pPr>
            <w:r>
              <w:rPr>
                <w:rFonts w:hint="eastAsia" w:ascii="仿宋" w:hAnsi="仿宋" w:eastAsia="仿宋"/>
                <w:color w:val="000000"/>
                <w:sz w:val="24"/>
              </w:rPr>
              <w:t>费      种</w:t>
            </w:r>
          </w:p>
        </w:tc>
        <w:tc>
          <w:tcPr>
            <w:tcW w:w="3260" w:type="dxa"/>
            <w:vAlign w:val="center"/>
          </w:tcPr>
          <w:p w14:paraId="044CE0F8">
            <w:pPr>
              <w:jc w:val="center"/>
              <w:rPr>
                <w:rFonts w:ascii="仿宋" w:hAnsi="仿宋" w:eastAsia="仿宋"/>
                <w:color w:val="000000"/>
                <w:sz w:val="24"/>
              </w:rPr>
            </w:pPr>
            <w:r>
              <w:rPr>
                <w:rFonts w:hint="eastAsia" w:ascii="仿宋" w:hAnsi="仿宋" w:eastAsia="仿宋"/>
                <w:color w:val="000000"/>
                <w:sz w:val="24"/>
              </w:rPr>
              <w:t>权       证       号</w:t>
            </w:r>
          </w:p>
        </w:tc>
        <w:tc>
          <w:tcPr>
            <w:tcW w:w="880" w:type="dxa"/>
            <w:vAlign w:val="center"/>
          </w:tcPr>
          <w:p w14:paraId="596ECC16">
            <w:pPr>
              <w:jc w:val="center"/>
              <w:rPr>
                <w:rFonts w:ascii="仿宋" w:hAnsi="仿宋" w:eastAsia="仿宋"/>
                <w:color w:val="000000"/>
                <w:sz w:val="24"/>
              </w:rPr>
            </w:pPr>
            <w:r>
              <w:rPr>
                <w:rFonts w:hint="eastAsia" w:ascii="仿宋" w:hAnsi="仿宋" w:eastAsia="仿宋"/>
                <w:color w:val="000000"/>
                <w:sz w:val="24"/>
              </w:rPr>
              <w:t>面积（公顷）</w:t>
            </w:r>
          </w:p>
        </w:tc>
        <w:tc>
          <w:tcPr>
            <w:tcW w:w="1365" w:type="dxa"/>
            <w:vAlign w:val="center"/>
          </w:tcPr>
          <w:p w14:paraId="4569A191">
            <w:pPr>
              <w:jc w:val="center"/>
              <w:rPr>
                <w:rFonts w:ascii="仿宋" w:hAnsi="仿宋" w:eastAsia="仿宋"/>
                <w:color w:val="000000"/>
                <w:sz w:val="24"/>
              </w:rPr>
            </w:pPr>
            <w:r>
              <w:rPr>
                <w:rFonts w:hint="eastAsia" w:ascii="仿宋" w:hAnsi="仿宋" w:eastAsia="仿宋"/>
                <w:color w:val="000000"/>
                <w:sz w:val="24"/>
              </w:rPr>
              <w:t>欠费年度</w:t>
            </w:r>
          </w:p>
        </w:tc>
        <w:tc>
          <w:tcPr>
            <w:tcW w:w="1815" w:type="dxa"/>
            <w:vAlign w:val="center"/>
          </w:tcPr>
          <w:p w14:paraId="2C36CC5D">
            <w:pPr>
              <w:jc w:val="center"/>
              <w:rPr>
                <w:rFonts w:ascii="仿宋" w:hAnsi="仿宋" w:eastAsia="仿宋"/>
                <w:color w:val="000000"/>
                <w:sz w:val="24"/>
              </w:rPr>
            </w:pPr>
            <w:r>
              <w:rPr>
                <w:rFonts w:hint="eastAsia" w:ascii="仿宋" w:hAnsi="仿宋" w:eastAsia="仿宋"/>
                <w:color w:val="000000"/>
                <w:sz w:val="24"/>
              </w:rPr>
              <w:t>欠费金额（元）</w:t>
            </w:r>
          </w:p>
        </w:tc>
      </w:tr>
      <w:tr w14:paraId="57C8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4" w:type="dxa"/>
            <w:vAlign w:val="center"/>
          </w:tcPr>
          <w:p w14:paraId="56DA7F3D">
            <w:pPr>
              <w:rPr>
                <w:rFonts w:ascii="仿宋" w:hAnsi="仿宋" w:eastAsia="仿宋"/>
                <w:color w:val="000000"/>
                <w:sz w:val="24"/>
              </w:rPr>
            </w:pPr>
            <w:r>
              <w:rPr>
                <w:rFonts w:hint="eastAsia" w:ascii="仿宋" w:hAnsi="仿宋" w:eastAsia="仿宋"/>
                <w:color w:val="000000"/>
                <w:sz w:val="24"/>
              </w:rPr>
              <w:t>海域使用金</w:t>
            </w:r>
          </w:p>
        </w:tc>
        <w:tc>
          <w:tcPr>
            <w:tcW w:w="3260" w:type="dxa"/>
            <w:vAlign w:val="center"/>
          </w:tcPr>
          <w:p w14:paraId="2EA76C6D">
            <w:pPr>
              <w:rPr>
                <w:rFonts w:ascii="仿宋" w:hAnsi="仿宋" w:eastAsia="仿宋" w:cs="宋体"/>
                <w:sz w:val="24"/>
              </w:rPr>
            </w:pPr>
            <w:r>
              <w:rPr>
                <w:rFonts w:hint="eastAsia" w:ascii="仿宋" w:hAnsi="仿宋" w:eastAsia="仿宋"/>
                <w:sz w:val="24"/>
              </w:rPr>
              <w:t>国海证：2016D21080408821</w:t>
            </w:r>
          </w:p>
        </w:tc>
        <w:tc>
          <w:tcPr>
            <w:tcW w:w="880" w:type="dxa"/>
            <w:vAlign w:val="center"/>
          </w:tcPr>
          <w:p w14:paraId="26505F12">
            <w:pPr>
              <w:rPr>
                <w:rFonts w:ascii="仿宋" w:hAnsi="仿宋" w:eastAsia="仿宋" w:cs="宋体"/>
                <w:sz w:val="24"/>
              </w:rPr>
            </w:pPr>
            <w:r>
              <w:rPr>
                <w:rFonts w:hint="eastAsia" w:ascii="仿宋" w:hAnsi="仿宋" w:eastAsia="仿宋"/>
                <w:sz w:val="24"/>
              </w:rPr>
              <w:t>295.4327</w:t>
            </w:r>
          </w:p>
        </w:tc>
        <w:tc>
          <w:tcPr>
            <w:tcW w:w="1365" w:type="dxa"/>
            <w:vAlign w:val="center"/>
          </w:tcPr>
          <w:p w14:paraId="7E43BDAA">
            <w:pPr>
              <w:jc w:val="center"/>
              <w:rPr>
                <w:rFonts w:ascii="仿宋" w:hAnsi="仿宋" w:eastAsia="仿宋"/>
                <w:color w:val="000000"/>
                <w:sz w:val="24"/>
              </w:rPr>
            </w:pPr>
            <w:r>
              <w:rPr>
                <w:rFonts w:hint="eastAsia" w:ascii="仿宋" w:hAnsi="仿宋" w:eastAsia="仿宋"/>
                <w:color w:val="000000"/>
                <w:sz w:val="24"/>
              </w:rPr>
              <w:t>2016-2024</w:t>
            </w:r>
          </w:p>
        </w:tc>
        <w:tc>
          <w:tcPr>
            <w:tcW w:w="1815" w:type="dxa"/>
            <w:vAlign w:val="center"/>
          </w:tcPr>
          <w:p w14:paraId="44BA2204">
            <w:pPr>
              <w:rPr>
                <w:rFonts w:ascii="仿宋" w:hAnsi="仿宋" w:eastAsia="仿宋" w:cs="宋体"/>
                <w:sz w:val="24"/>
              </w:rPr>
            </w:pPr>
            <w:r>
              <w:rPr>
                <w:rFonts w:hint="eastAsia" w:ascii="仿宋" w:hAnsi="仿宋" w:eastAsia="仿宋"/>
                <w:sz w:val="24"/>
              </w:rPr>
              <w:t>1772596.2</w:t>
            </w:r>
          </w:p>
        </w:tc>
      </w:tr>
      <w:tr w14:paraId="2C7E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44" w:type="dxa"/>
            <w:vAlign w:val="center"/>
          </w:tcPr>
          <w:p w14:paraId="3976FBD6">
            <w:pPr>
              <w:jc w:val="center"/>
              <w:rPr>
                <w:rFonts w:ascii="仿宋" w:hAnsi="仿宋" w:eastAsia="仿宋"/>
                <w:color w:val="000000"/>
                <w:sz w:val="24"/>
              </w:rPr>
            </w:pPr>
            <w:bookmarkStart w:id="1" w:name="xzmc"/>
            <w:bookmarkEnd w:id="1"/>
            <w:r>
              <w:rPr>
                <w:rFonts w:hint="eastAsia" w:ascii="仿宋" w:hAnsi="仿宋" w:eastAsia="仿宋"/>
                <w:color w:val="000000"/>
                <w:sz w:val="24"/>
              </w:rPr>
              <w:t>合计金额</w:t>
            </w:r>
          </w:p>
        </w:tc>
        <w:tc>
          <w:tcPr>
            <w:tcW w:w="3260" w:type="dxa"/>
            <w:vAlign w:val="center"/>
          </w:tcPr>
          <w:p w14:paraId="02614A30">
            <w:pPr>
              <w:jc w:val="center"/>
              <w:rPr>
                <w:rFonts w:ascii="仿宋" w:hAnsi="仿宋" w:eastAsia="仿宋"/>
                <w:color w:val="000000"/>
                <w:sz w:val="24"/>
              </w:rPr>
            </w:pPr>
            <w:r>
              <w:rPr>
                <w:rFonts w:hint="eastAsia" w:ascii="仿宋" w:hAnsi="仿宋" w:eastAsia="仿宋"/>
                <w:color w:val="000000"/>
                <w:sz w:val="24"/>
              </w:rPr>
              <w:t>—</w:t>
            </w:r>
          </w:p>
        </w:tc>
        <w:tc>
          <w:tcPr>
            <w:tcW w:w="880" w:type="dxa"/>
            <w:vAlign w:val="center"/>
          </w:tcPr>
          <w:p w14:paraId="6FDE63DE">
            <w:pPr>
              <w:rPr>
                <w:rFonts w:ascii="仿宋" w:hAnsi="仿宋" w:eastAsia="仿宋"/>
                <w:color w:val="000000"/>
                <w:sz w:val="24"/>
              </w:rPr>
            </w:pPr>
          </w:p>
        </w:tc>
        <w:tc>
          <w:tcPr>
            <w:tcW w:w="1365" w:type="dxa"/>
            <w:vAlign w:val="center"/>
          </w:tcPr>
          <w:p w14:paraId="2810CC87">
            <w:pPr>
              <w:rPr>
                <w:rFonts w:ascii="仿宋" w:hAnsi="仿宋" w:eastAsia="仿宋"/>
                <w:color w:val="000000"/>
                <w:sz w:val="24"/>
              </w:rPr>
            </w:pPr>
            <w:r>
              <w:rPr>
                <w:rFonts w:hint="eastAsia" w:ascii="仿宋" w:hAnsi="仿宋" w:eastAsia="仿宋"/>
                <w:color w:val="000000"/>
                <w:sz w:val="24"/>
              </w:rPr>
              <w:t>——</w:t>
            </w:r>
          </w:p>
        </w:tc>
        <w:tc>
          <w:tcPr>
            <w:tcW w:w="1815" w:type="dxa"/>
            <w:vAlign w:val="center"/>
          </w:tcPr>
          <w:p w14:paraId="532ABD88">
            <w:pPr>
              <w:rPr>
                <w:rFonts w:ascii="仿宋" w:hAnsi="仿宋" w:eastAsia="仿宋" w:cs="宋体"/>
                <w:sz w:val="24"/>
              </w:rPr>
            </w:pPr>
            <w:r>
              <w:rPr>
                <w:rFonts w:hint="eastAsia" w:ascii="仿宋" w:hAnsi="仿宋" w:eastAsia="仿宋"/>
                <w:sz w:val="24"/>
              </w:rPr>
              <w:t>1772596.2</w:t>
            </w:r>
          </w:p>
        </w:tc>
      </w:tr>
    </w:tbl>
    <w:p w14:paraId="24CAE7B2">
      <w:pPr>
        <w:rPr>
          <w:rFonts w:ascii="仿宋" w:hAnsi="仿宋" w:eastAsia="仿宋" w:cs="宋体"/>
          <w:kern w:val="0"/>
          <w:sz w:val="32"/>
          <w:szCs w:val="32"/>
        </w:rPr>
      </w:pPr>
      <w:r>
        <w:rPr>
          <w:rFonts w:hint="eastAsia" w:ascii="仿宋" w:hAnsi="仿宋" w:eastAsia="仿宋"/>
          <w:color w:val="000000"/>
          <w:sz w:val="32"/>
          <w:szCs w:val="32"/>
        </w:rPr>
        <w:t>根据《财政部、自然资源部、税务总局、人民银行关于将国有土地使用权出让收入、矿产资源专项收入、海域使用金、无居民海岛使用金四项政府非税收入划转税务部门征收有关问题的通知》（财综</w:t>
      </w:r>
      <w:r>
        <w:rPr>
          <w:rFonts w:hint="eastAsia" w:ascii="仿宋" w:hAnsi="仿宋" w:eastAsia="仿宋"/>
          <w:color w:val="000000"/>
          <w:spacing w:val="20"/>
          <w:sz w:val="32"/>
          <w:szCs w:val="32"/>
        </w:rPr>
        <w:t>〔2021〕19号</w:t>
      </w:r>
      <w:r>
        <w:rPr>
          <w:rFonts w:hint="eastAsia" w:ascii="仿宋" w:hAnsi="仿宋" w:eastAsia="仿宋"/>
          <w:color w:val="000000"/>
          <w:sz w:val="32"/>
          <w:szCs w:val="32"/>
        </w:rPr>
        <w:t>）、《关于国有土地使用权出让收入等四项政府非税收入征管职责划转有关事宜的通知》（辽财税〔2021〕269号）的相关规定以及自然资源局推送给本机关的海域使用金收入费源信息，本机关对于你单位作出人民币</w:t>
      </w:r>
      <w:r>
        <w:rPr>
          <w:rFonts w:hint="eastAsia" w:ascii="仿宋" w:hAnsi="仿宋" w:eastAsia="仿宋" w:cs="宋体"/>
          <w:kern w:val="0"/>
          <w:sz w:val="32"/>
          <w:szCs w:val="32"/>
        </w:rPr>
        <w:t>1772596.2</w:t>
      </w:r>
      <w:r>
        <w:rPr>
          <w:rFonts w:hint="eastAsia" w:ascii="仿宋" w:hAnsi="仿宋" w:eastAsia="仿宋"/>
          <w:color w:val="000000"/>
          <w:sz w:val="32"/>
          <w:szCs w:val="32"/>
        </w:rPr>
        <w:t>元（大写：壹佰柒拾柒万贰千伍佰玖拾陆元贰角）的海域使用金限期缴费决定。</w:t>
      </w:r>
    </w:p>
    <w:p w14:paraId="5E312579">
      <w:pPr>
        <w:ind w:firstLine="640" w:firstLineChars="200"/>
        <w:rPr>
          <w:rFonts w:ascii="仿宋" w:hAnsi="仿宋" w:eastAsia="仿宋"/>
          <w:color w:val="000000"/>
          <w:sz w:val="32"/>
          <w:szCs w:val="32"/>
        </w:rPr>
      </w:pPr>
      <w:r>
        <w:rPr>
          <w:rFonts w:hint="eastAsia" w:ascii="仿宋" w:hAnsi="仿宋" w:eastAsia="仿宋"/>
          <w:color w:val="000000"/>
          <w:sz w:val="32"/>
          <w:szCs w:val="32"/>
        </w:rPr>
        <w:t>现责令你单位于收到本决定书之日起十五日内，将海域使用金缴至国家税务总局营口经济技术开发区（鲅鱼圈区）税务局。《中华人民共和国海域使用管理法》第四十八条的规定：“违反本法规定，按年度逐年缴纳海域使用金的海域使用权人不按期缴纳海域使用金的，限期缴纳；在限期内仍拒不缴纳的，由颁发海域使用证书的人民政府注销海域使用权证书，收回海域使用权。”如你单位未在本决定书规定的缴款期限内足额缴纳海域使用金，本机关将推送至海洋主管部门，由海洋主管部门提请营口市鲅鱼圈区人民政府依法注销你单位的海域使用权证书或不动产权证书。</w:t>
      </w:r>
    </w:p>
    <w:p w14:paraId="7D7FFDF8">
      <w:pPr>
        <w:ind w:firstLine="640" w:firstLineChars="200"/>
        <w:outlineLvl w:val="0"/>
        <w:rPr>
          <w:rFonts w:ascii="仿宋" w:hAnsi="仿宋" w:eastAsia="仿宋"/>
          <w:color w:val="000000"/>
          <w:sz w:val="32"/>
          <w:szCs w:val="32"/>
        </w:rPr>
      </w:pPr>
      <w:r>
        <w:rPr>
          <w:rFonts w:hint="eastAsia" w:ascii="仿宋" w:hAnsi="仿宋" w:eastAsia="仿宋"/>
          <w:color w:val="000000"/>
          <w:sz w:val="32"/>
          <w:szCs w:val="32"/>
        </w:rPr>
        <w:t>如对本决定不服，可以在收到本决定之日起六十日内向营口市鲅鱼圈区人民政府申请行政复议，也可以在收到本决定书之日起六个月内直接向大连海事法院提起行政诉讼。但在复议、诉讼期间，本决定书不停止执行。</w:t>
      </w:r>
    </w:p>
    <w:p w14:paraId="306151F1">
      <w:pPr>
        <w:ind w:firstLine="640" w:firstLineChars="200"/>
        <w:outlineLvl w:val="0"/>
        <w:rPr>
          <w:rFonts w:ascii="仿宋" w:hAnsi="仿宋" w:eastAsia="仿宋"/>
          <w:color w:val="000000"/>
          <w:sz w:val="32"/>
          <w:szCs w:val="32"/>
        </w:rPr>
      </w:pPr>
      <w:r>
        <w:rPr>
          <w:rFonts w:hint="eastAsia" w:ascii="仿宋" w:hAnsi="仿宋" w:eastAsia="仿宋"/>
          <w:color w:val="000000"/>
          <w:sz w:val="32"/>
          <w:szCs w:val="32"/>
        </w:rPr>
        <w:t>逾期不申请行政复议，也不向法院提起行政诉讼，又不履行本决定书的，本机关将依法申请大连海事法院强制执行。</w:t>
      </w:r>
    </w:p>
    <w:p w14:paraId="34882B34">
      <w:pPr>
        <w:ind w:firstLine="640" w:firstLineChars="200"/>
        <w:jc w:val="left"/>
        <w:outlineLvl w:val="0"/>
        <w:rPr>
          <w:rFonts w:ascii="仿宋" w:hAnsi="仿宋" w:eastAsia="仿宋"/>
          <w:color w:val="000000"/>
          <w:sz w:val="32"/>
          <w:szCs w:val="32"/>
        </w:rPr>
      </w:pPr>
    </w:p>
    <w:p w14:paraId="644B55DE">
      <w:pPr>
        <w:ind w:firstLine="640" w:firstLineChars="200"/>
        <w:jc w:val="left"/>
        <w:outlineLvl w:val="0"/>
        <w:rPr>
          <w:rFonts w:ascii="仿宋" w:hAnsi="仿宋" w:eastAsia="仿宋"/>
          <w:color w:val="000000"/>
          <w:sz w:val="32"/>
          <w:szCs w:val="32"/>
        </w:rPr>
      </w:pPr>
    </w:p>
    <w:p w14:paraId="25D64767">
      <w:pPr>
        <w:ind w:firstLine="640" w:firstLineChars="200"/>
        <w:jc w:val="left"/>
        <w:outlineLvl w:val="0"/>
        <w:rPr>
          <w:rFonts w:ascii="仿宋" w:hAnsi="仿宋" w:eastAsia="仿宋"/>
          <w:color w:val="000000"/>
          <w:sz w:val="32"/>
          <w:szCs w:val="32"/>
        </w:rPr>
      </w:pPr>
    </w:p>
    <w:p w14:paraId="7C83AAD9">
      <w:pPr>
        <w:spacing w:line="560" w:lineRule="exact"/>
        <w:jc w:val="right"/>
        <w:outlineLvl w:val="0"/>
        <w:rPr>
          <w:rFonts w:ascii="仿宋" w:hAnsi="仿宋" w:eastAsia="仿宋"/>
          <w:color w:val="000000"/>
          <w:sz w:val="32"/>
          <w:szCs w:val="32"/>
        </w:rPr>
      </w:pPr>
      <w:r>
        <w:rPr>
          <w:rFonts w:hint="eastAsia" w:ascii="仿宋" w:hAnsi="仿宋" w:eastAsia="仿宋"/>
          <w:color w:val="000000"/>
          <w:w w:val="66"/>
          <w:sz w:val="32"/>
          <w:szCs w:val="32"/>
        </w:rPr>
        <w:t>国家税务总局营口经济技术开发区（鲅鱼圈区）税务局</w:t>
      </w:r>
      <w:r>
        <w:rPr>
          <w:rFonts w:hint="eastAsia" w:ascii="仿宋" w:hAnsi="仿宋" w:eastAsia="仿宋"/>
          <w:color w:val="000000"/>
          <w:w w:val="66"/>
          <w:sz w:val="32"/>
          <w:szCs w:val="32"/>
          <w:lang w:val="en-US" w:eastAsia="zh-CN"/>
        </w:rPr>
        <w:t>红</w:t>
      </w:r>
      <w:r>
        <w:rPr>
          <w:rFonts w:hint="eastAsia" w:ascii="仿宋" w:hAnsi="仿宋" w:eastAsia="仿宋"/>
          <w:color w:val="000000"/>
          <w:w w:val="66"/>
          <w:sz w:val="32"/>
          <w:szCs w:val="32"/>
        </w:rPr>
        <w:t>海税务所</w:t>
      </w:r>
    </w:p>
    <w:p w14:paraId="5155708A">
      <w:pPr>
        <w:ind w:right="840" w:rightChars="400"/>
        <w:jc w:val="right"/>
        <w:rPr>
          <w:rFonts w:ascii="仿宋" w:hAnsi="仿宋" w:eastAsia="仿宋"/>
          <w:color w:val="000000"/>
          <w:sz w:val="32"/>
          <w:szCs w:val="32"/>
        </w:rPr>
      </w:pPr>
      <w:r>
        <w:rPr>
          <w:rFonts w:hint="eastAsia" w:ascii="仿宋" w:hAnsi="仿宋" w:eastAsia="仿宋"/>
          <w:color w:val="000000"/>
          <w:sz w:val="32"/>
          <w:szCs w:val="32"/>
        </w:rPr>
        <w:t xml:space="preserve">   二Ｏ二四年十二月</w:t>
      </w:r>
      <w:r>
        <w:rPr>
          <w:rFonts w:hint="eastAsia" w:ascii="仿宋" w:hAnsi="仿宋" w:eastAsia="仿宋"/>
          <w:color w:val="000000"/>
          <w:sz w:val="32"/>
          <w:szCs w:val="32"/>
          <w:lang w:val="en-US" w:eastAsia="zh-CN"/>
        </w:rPr>
        <w:t>十三</w:t>
      </w:r>
      <w:bookmarkStart w:id="2" w:name="_GoBack"/>
      <w:bookmarkEnd w:id="2"/>
      <w:r>
        <w:rPr>
          <w:rFonts w:hint="eastAsia" w:ascii="仿宋" w:hAnsi="仿宋" w:eastAsia="仿宋"/>
          <w:color w:val="000000"/>
          <w:sz w:val="32"/>
          <w:szCs w:val="32"/>
        </w:rPr>
        <w:t>日</w:t>
      </w:r>
    </w:p>
    <w:p w14:paraId="7EF351EB">
      <w:pPr>
        <w:rPr>
          <w:rFonts w:ascii="仿宋" w:hAnsi="仿宋" w:eastAsia="仿宋"/>
          <w:sz w:val="32"/>
          <w:szCs w:val="32"/>
        </w:rPr>
      </w:pPr>
    </w:p>
    <w:p w14:paraId="69260956">
      <w:pPr>
        <w:rPr>
          <w:rFonts w:ascii="仿宋" w:hAnsi="仿宋" w:eastAsia="仿宋"/>
          <w:sz w:val="32"/>
          <w:szCs w:val="32"/>
        </w:rPr>
      </w:pPr>
    </w:p>
    <w:p w14:paraId="5D50816D">
      <w:pPr>
        <w:rPr>
          <w:rFonts w:ascii="仿宋" w:hAnsi="仿宋" w:eastAsia="仿宋"/>
          <w:sz w:val="32"/>
          <w:szCs w:val="32"/>
        </w:rPr>
      </w:pPr>
    </w:p>
    <w:sectPr>
      <w:headerReference r:id="rId3" w:type="default"/>
      <w:footerReference r:id="rId4" w:type="default"/>
      <w:pgSz w:w="11906" w:h="16838"/>
      <w:pgMar w:top="1440" w:right="1080" w:bottom="1440" w:left="1080" w:header="851" w:footer="992" w:gutter="0"/>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A6DF">
    <w:pPr>
      <w:pStyle w:val="2"/>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7DE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C7"/>
    <w:rsid w:val="000C08C7"/>
    <w:rsid w:val="002D1250"/>
    <w:rsid w:val="00747B91"/>
    <w:rsid w:val="00836F7C"/>
    <w:rsid w:val="009955EA"/>
    <w:rsid w:val="00C45DFF"/>
    <w:rsid w:val="00DF1B9E"/>
    <w:rsid w:val="00E066AC"/>
    <w:rsid w:val="11BD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qFormat/>
    <w:uiPriority w:val="99"/>
    <w:rPr>
      <w:rFonts w:ascii="Times New Roman" w:hAnsi="Times New Roman" w:eastAsia="宋体" w:cs="Times New Roman"/>
      <w:sz w:val="18"/>
      <w:szCs w:val="18"/>
    </w:rPr>
  </w:style>
  <w:style w:type="paragraph" w:customStyle="1" w:styleId="8">
    <w:name w:val="正文 首行缩进 Char"/>
    <w:basedOn w:val="1"/>
    <w:link w:val="9"/>
    <w:qFormat/>
    <w:uiPriority w:val="0"/>
    <w:pPr>
      <w:widowControl/>
      <w:spacing w:line="360" w:lineRule="auto"/>
      <w:ind w:firstLine="420" w:firstLineChars="200"/>
    </w:pPr>
    <w:rPr>
      <w:rFonts w:ascii="Arial" w:hAnsi="Arial"/>
      <w:kern w:val="0"/>
      <w:szCs w:val="20"/>
    </w:rPr>
  </w:style>
  <w:style w:type="character" w:customStyle="1" w:styleId="9">
    <w:name w:val="正文 首行缩进 Char Char"/>
    <w:link w:val="8"/>
    <w:qFormat/>
    <w:uiPriority w:val="0"/>
    <w:rPr>
      <w:rFonts w:ascii="Arial" w:hAnsi="Arial"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737</Words>
  <Characters>806</Characters>
  <Lines>6</Lines>
  <Paragraphs>1</Paragraphs>
  <TotalTime>7</TotalTime>
  <ScaleCrop>false</ScaleCrop>
  <LinksUpToDate>false</LinksUpToDate>
  <CharactersWithSpaces>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2024-12-06T02:58:00Z</dcterms:created>
  <dc:creator>xingxt</dc:creator>
  <cp:lastModifiedBy>啊啦</cp:lastModifiedBy>
  <dcterms:modified xsi:type="dcterms:W3CDTF">2025-04-10T02:44:44Z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eyJoZGlkIjoiNTY2ZjgxNTNlYWQyNDA5M2QxNGMzNzg4Yjg1ZjRmOTIiLCJ1c2VySWQiOiI2NzI5MzI4ODMifQ==</vt:lpwstr>
  </property>
  <property fmtid="{D5CDD505-2E9C-101B-9397-08002B2CF9AE}" pid="3" name="KSOProductBuildVer">
    <vt:lpwstr>2052-12.1.0.20784</vt:lpwstr>
  </property>
  <property fmtid="{D5CDD505-2E9C-101B-9397-08002B2CF9AE}" pid="4" name="ICV">
    <vt:lpwstr>424DC329B4D04141841A94D9E382BF1F_13</vt:lpwstr>
  </property>
</Properties>
</file>